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  <w:shd w:fill="auto" w:val="clear"/>
        </w:rPr>
      </w:r>
      <w:r/>
    </w:p>
    <w:tbl>
      <w:tblPr>
        <w:tblW w:w="9144" w:type="dxa"/>
        <w:jc w:val="left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0" w:type="dxa"/>
          <w:left w:w="104" w:type="dxa"/>
          <w:bottom w:w="0" w:type="dxa"/>
          <w:right w:w="108" w:type="dxa"/>
        </w:tblCellMar>
      </w:tblPr>
      <w:tblGrid>
        <w:gridCol w:w="4572"/>
        <w:gridCol w:w="4572"/>
      </w:tblGrid>
      <w:tr>
        <w:trPr>
          <w:trHeight w:val="321" w:hRule="atLeast"/>
        </w:trPr>
        <w:tc>
          <w:tcPr>
            <w:tcW w:w="91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32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32"/>
                <w:shd w:fill="auto" w:val="clear"/>
              </w:rPr>
              <w:t>Física III. Calendario de presentaciones para 4° Bimestre.</w:t>
            </w:r>
            <w:r/>
          </w:p>
        </w:tc>
      </w:tr>
      <w:tr>
        <w:trPr>
          <w:trHeight w:val="321" w:hRule="atLeast"/>
        </w:trPr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Equipo:</w:t>
            </w:r>
            <w:r/>
          </w:p>
        </w:tc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Tema:</w:t>
            </w:r>
            <w:r/>
          </w:p>
        </w:tc>
      </w:tr>
      <w:tr>
        <w:trPr>
          <w:trHeight w:val="321" w:hRule="atLeast"/>
        </w:trPr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ANA VICTORIA, MAJO, ALEXIS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(26/MARZO/2015)</w:t>
            </w:r>
            <w:r/>
          </w:p>
        </w:tc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Estructura atómica. La evidencia química: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Teoría atómica de Dalton. Leyes de las proporciones definidas y múltiples.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Ley de Gay Lussac. Hipótesis de Avogadro. Pesos moleculares.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Mendeleiev y la tabla periódica.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2"/>
                <w:b w:val="false"/>
                <w:shd w:fill="auto" w:val="clear"/>
                <w:rFonts w:ascii="Calibri" w:hAnsi="Calibri" w:eastAsia="Calibri" w:cs="Calibri"/>
                <w:color w:val="auto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  <w:shd w:fill="auto" w:val="clear"/>
              </w:rPr>
            </w:r>
            <w:r/>
          </w:p>
        </w:tc>
      </w:tr>
      <w:tr>
        <w:trPr>
          <w:trHeight w:val="341" w:hRule="atLeast"/>
        </w:trPr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THESA, NAYLEA, YARELI, LIDIA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(24/MARZO/2015)</w:t>
            </w:r>
            <w:r/>
          </w:p>
        </w:tc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Estructura atómica. La evidencia física: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Movimiento browniano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Teoría cinética de los gases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 xml:space="preserve">- Ley de electrólisis de Faraday 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Estructura cristalina. Imágenes de microscopio electrónico.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-Dimensiones moleculares y atómicas.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2"/>
                <w:b w:val="false"/>
                <w:shd w:fill="auto" w:val="clear"/>
                <w:rFonts w:ascii="Calibri" w:hAnsi="Calibri" w:eastAsia="Calibri" w:cs="Calibri"/>
                <w:color w:val="auto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  <w:shd w:fill="auto" w:val="clear"/>
              </w:rPr>
            </w:r>
            <w:r/>
          </w:p>
        </w:tc>
      </w:tr>
      <w:tr>
        <w:trPr>
          <w:trHeight w:val="321" w:hRule="atLeast"/>
        </w:trPr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FRIDA, LINO, CASSANDRA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(27/MARZO/2015)</w:t>
            </w:r>
            <w:r/>
          </w:p>
        </w:tc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La teoría atómica de la electricidad.</w:t>
            </w:r>
            <w:r/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Tubos de descarga.</w:t>
            </w:r>
            <w:r/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El experimento de Thomson.</w:t>
            </w:r>
            <w:r/>
          </w:p>
          <w:p>
            <w:pPr>
              <w:pStyle w:val="Normal"/>
              <w:spacing w:lineRule="auto" w:line="240"/>
              <w:ind w:left="0" w:right="165" w:hanging="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El experimento de Millikan.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2"/>
                <w:b w:val="false"/>
                <w:shd w:fill="auto" w:val="clear"/>
                <w:rFonts w:ascii="Calibri" w:hAnsi="Calibri" w:eastAsia="Calibri" w:cs="Calibri"/>
                <w:color w:val="auto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  <w:shd w:fill="auto" w:val="clear"/>
              </w:rPr>
            </w:r>
            <w:r/>
          </w:p>
        </w:tc>
      </w:tr>
      <w:tr>
        <w:trPr>
          <w:trHeight w:val="321" w:hRule="atLeast"/>
        </w:trPr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FERNANDA ÁLVAREZ Y ARANZA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(14/ABRIL/2015)</w:t>
            </w:r>
            <w:r/>
          </w:p>
        </w:tc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La teoría atómica de la radiación.</w:t>
            </w:r>
            <w:r/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La radiación electromagnética y la luz.</w:t>
            </w:r>
            <w:r/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La hipótesis cuántica de Planck.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2"/>
                <w:b w:val="false"/>
                <w:shd w:fill="auto" w:val="clear"/>
                <w:rFonts w:ascii="Calibri" w:hAnsi="Calibri" w:eastAsia="Calibri" w:cs="Calibri"/>
                <w:color w:val="auto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  <w:shd w:fill="auto" w:val="clear"/>
              </w:rPr>
            </w:r>
            <w:r/>
          </w:p>
        </w:tc>
      </w:tr>
      <w:tr>
        <w:trPr>
          <w:trHeight w:val="321" w:hRule="atLeast"/>
        </w:trPr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FERNANDA VARGAS, MARIANA, VALERY, KAREN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(16/ABRIL/2015)</w:t>
            </w:r>
            <w:r/>
          </w:p>
        </w:tc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El efecto fotoeléctrico.</w:t>
            </w:r>
            <w:r/>
          </w:p>
          <w:p>
            <w:pPr>
              <w:pStyle w:val="Normal"/>
              <w:spacing w:lineRule="auto" w:line="240"/>
              <w:ind w:left="0" w:right="165" w:hanging="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Describir la estructura de los átomos, la cuantización de la energía, la emisión y absorción de luz, y aplicaciones en el cuidado del medio ambiente.</w:t>
            </w:r>
            <w:r/>
          </w:p>
          <w:p>
            <w:pPr>
              <w:pStyle w:val="Normal"/>
              <w:spacing w:lineRule="auto" w:line="240"/>
              <w:ind w:left="0" w:right="165" w:hanging="0"/>
              <w:jc w:val="left"/>
              <w:rPr>
                <w:sz w:val="22"/>
                <w:b w:val="false"/>
                <w:shd w:fill="auto" w:val="clear"/>
                <w:rFonts w:ascii="Calibri" w:hAnsi="Calibri" w:eastAsia="Calibri" w:cs="Calibri"/>
                <w:color w:val="auto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  <w:shd w:fill="auto" w:val="clear"/>
              </w:rPr>
            </w:r>
            <w:r/>
          </w:p>
        </w:tc>
      </w:tr>
      <w:tr>
        <w:trPr>
          <w:trHeight w:val="321" w:hRule="atLeast"/>
        </w:trPr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BRUNO, PEDRO, RAÚL, JORGE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(17/ABRIL/2015)</w:t>
            </w:r>
            <w:r/>
          </w:p>
        </w:tc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Modelos atómicos.</w:t>
            </w:r>
            <w:r/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El descubrimiento de la radiactividad.</w:t>
            </w:r>
            <w:r/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El experimento de Rutherford.</w:t>
            </w:r>
            <w:r/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Espectroscopia y el modelo atómico de Bohr.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2"/>
                <w:b w:val="false"/>
                <w:shd w:fill="auto" w:val="clear"/>
                <w:rFonts w:ascii="Calibri" w:hAnsi="Calibri" w:eastAsia="Calibri" w:cs="Calibri"/>
                <w:color w:val="auto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  <w:shd w:fill="auto" w:val="clear"/>
              </w:rPr>
            </w:r>
            <w:r/>
          </w:p>
        </w:tc>
      </w:tr>
      <w:tr>
        <w:trPr>
          <w:trHeight w:val="321" w:hRule="atLeast"/>
        </w:trPr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ANA XIMENA, JESÚS, VALERIA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(21/ABRIL/2015)</w:t>
            </w:r>
            <w:r/>
          </w:p>
        </w:tc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Física nuclear.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Decaimiento radiactivo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Detectores de radiactividad.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2"/>
                <w:b w:val="false"/>
                <w:shd w:fill="auto" w:val="clear"/>
                <w:rFonts w:ascii="Calibri" w:hAnsi="Calibri" w:eastAsia="Calibri" w:cs="Calibri"/>
                <w:color w:val="auto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  <w:shd w:fill="auto" w:val="clear"/>
              </w:rPr>
            </w:r>
            <w:r/>
          </w:p>
        </w:tc>
      </w:tr>
      <w:tr>
        <w:trPr>
          <w:trHeight w:val="321" w:hRule="atLeast"/>
        </w:trPr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R</w:t>
            </w: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EGINA, LIZBETH, SEBASTIAN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(23/ABRIL/2015)</w:t>
            </w:r>
            <w:r/>
          </w:p>
        </w:tc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Física nuclear.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Aplicaciones de la radiactividad y la energía nuclear.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Fisión y fusión nucleares.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2"/>
                <w:b w:val="false"/>
                <w:shd w:fill="auto" w:val="clear"/>
                <w:rFonts w:ascii="Calibri" w:hAnsi="Calibri" w:eastAsia="Calibri" w:cs="Calibri"/>
                <w:color w:val="auto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  <w:shd w:fill="auto" w:val="clear"/>
              </w:rPr>
            </w:r>
            <w:r/>
          </w:p>
        </w:tc>
      </w:tr>
      <w:tr>
        <w:trPr>
          <w:trHeight w:val="321" w:hRule="atLeast"/>
        </w:trPr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BRUNO, PEDRO, RAÚL, JORGE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(24/ABRIL/2015)</w:t>
            </w:r>
            <w:r/>
          </w:p>
        </w:tc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Partículas elementales y cosmología.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Las interacciones fundamentales.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-Partículas elementales.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Origen y evolución del universo.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2"/>
                <w:b w:val="false"/>
                <w:shd w:fill="auto" w:val="clear"/>
                <w:rFonts w:ascii="Calibri" w:hAnsi="Calibri" w:eastAsia="Calibri" w:cs="Calibri"/>
                <w:color w:val="auto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  <w:shd w:fill="auto" w:val="clear"/>
              </w:rPr>
            </w:r>
            <w:r/>
          </w:p>
        </w:tc>
      </w:tr>
      <w:tr>
        <w:trPr>
          <w:trHeight w:val="321" w:hRule="atLeast"/>
        </w:trPr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FERNANDA VARGAS, MARIANA, VALERY, KAREN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(28/ABRIL/2015)</w:t>
            </w:r>
            <w:r/>
          </w:p>
        </w:tc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Relatividad general y especial.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Exponer también brevemente acerca de los 5 artículos que publicó Albert Einstein en 1905.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2"/>
                <w:b w:val="false"/>
                <w:shd w:fill="auto" w:val="clear"/>
                <w:rFonts w:ascii="Calibri" w:hAnsi="Calibri" w:eastAsia="Calibri" w:cs="Calibri"/>
                <w:color w:val="auto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  <w:shd w:fill="auto" w:val="clear"/>
              </w:rPr>
            </w:r>
            <w:r/>
          </w:p>
        </w:tc>
      </w:tr>
    </w:tbl>
    <w:p>
      <w:pPr>
        <w:pStyle w:val="Normal"/>
        <w:spacing w:lineRule="auto" w:line="240"/>
        <w:jc w:val="left"/>
        <w:rPr>
          <w:sz w:val="20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0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40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40"/>
          <w:shd w:fill="auto" w:val="clear"/>
        </w:rPr>
        <w:t>Rúbrica:</w:t>
      </w:r>
      <w:r/>
    </w:p>
    <w:p>
      <w:pPr>
        <w:pStyle w:val="Normal"/>
        <w:spacing w:lineRule="auto" w:line="240"/>
        <w:ind w:left="-284" w:right="0" w:hanging="0"/>
        <w:jc w:val="both"/>
        <w:rPr>
          <w:sz w:val="32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32"/>
          <w:shd w:fill="auto" w:val="clear"/>
        </w:rPr>
      </w:r>
      <w:r/>
    </w:p>
    <w:p>
      <w:pPr>
        <w:pStyle w:val="Normal"/>
        <w:numPr>
          <w:ilvl w:val="0"/>
          <w:numId w:val="1"/>
        </w:numPr>
        <w:spacing w:lineRule="auto" w:line="240"/>
        <w:ind w:left="-284" w:hanging="360"/>
        <w:jc w:val="both"/>
        <w:rPr>
          <w:sz w:val="32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32"/>
          <w:shd w:fill="auto" w:val="clear"/>
        </w:rPr>
        <w:t>Las exposiciones deberán de estar hechas en Power Point Y en archivo PDF.</w:t>
      </w:r>
      <w:r/>
    </w:p>
    <w:p>
      <w:pPr>
        <w:pStyle w:val="Normal"/>
        <w:spacing w:lineRule="auto" w:line="240"/>
        <w:ind w:left="-284" w:right="0" w:hanging="0"/>
        <w:jc w:val="both"/>
        <w:rPr>
          <w:sz w:val="32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32"/>
          <w:shd w:fill="auto" w:val="clear"/>
        </w:rPr>
      </w:r>
      <w:r/>
    </w:p>
    <w:p>
      <w:pPr>
        <w:pStyle w:val="Normal"/>
        <w:numPr>
          <w:ilvl w:val="0"/>
          <w:numId w:val="2"/>
        </w:numPr>
        <w:spacing w:lineRule="auto" w:line="240"/>
        <w:ind w:left="-284" w:hanging="360"/>
        <w:jc w:val="both"/>
        <w:rPr>
          <w:sz w:val="32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32"/>
          <w:shd w:fill="auto" w:val="clear"/>
        </w:rPr>
        <w:t>La duración mínima de la exposición será de 20 minutos, máxima de 30 minutos.</w:t>
      </w:r>
      <w:r/>
    </w:p>
    <w:p>
      <w:pPr>
        <w:pStyle w:val="Normal"/>
        <w:spacing w:lineRule="auto" w:line="240"/>
        <w:ind w:left="-284" w:right="0" w:hanging="0"/>
        <w:jc w:val="both"/>
        <w:rPr>
          <w:sz w:val="32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32"/>
          <w:shd w:fill="auto" w:val="clear"/>
        </w:rPr>
      </w:r>
      <w:r/>
    </w:p>
    <w:p>
      <w:pPr>
        <w:pStyle w:val="Normal"/>
        <w:numPr>
          <w:ilvl w:val="0"/>
          <w:numId w:val="3"/>
        </w:numPr>
        <w:spacing w:lineRule="auto" w:line="240"/>
        <w:ind w:left="-284" w:hanging="360"/>
        <w:jc w:val="both"/>
        <w:rPr>
          <w:sz w:val="32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32"/>
          <w:shd w:fill="auto" w:val="clear"/>
        </w:rPr>
        <w:t>Deberán formular un cuestionario de 5 preguntas para el resto de la clase cerca del tema expuesto.</w:t>
      </w:r>
      <w:r/>
    </w:p>
    <w:p>
      <w:pPr>
        <w:pStyle w:val="Normal"/>
        <w:spacing w:lineRule="auto" w:line="240"/>
        <w:ind w:left="-284" w:right="0" w:hanging="0"/>
        <w:jc w:val="both"/>
        <w:rPr>
          <w:sz w:val="32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32"/>
          <w:shd w:fill="auto" w:val="clear"/>
        </w:rPr>
      </w:r>
      <w:r/>
    </w:p>
    <w:p>
      <w:pPr>
        <w:pStyle w:val="Normal"/>
        <w:numPr>
          <w:ilvl w:val="0"/>
          <w:numId w:val="4"/>
        </w:numPr>
        <w:spacing w:lineRule="auto" w:line="240"/>
        <w:ind w:left="-284" w:hanging="360"/>
        <w:jc w:val="both"/>
        <w:rPr>
          <w:sz w:val="32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32"/>
          <w:shd w:fill="auto" w:val="clear"/>
        </w:rPr>
        <w:t>Deberá incluir bibliografía al final de la presentación.</w:t>
      </w:r>
      <w:r/>
    </w:p>
    <w:p>
      <w:pPr>
        <w:pStyle w:val="Normal"/>
        <w:spacing w:lineRule="auto" w:line="240"/>
        <w:ind w:left="720" w:right="0" w:hanging="0"/>
        <w:jc w:val="left"/>
        <w:rPr>
          <w:sz w:val="32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32"/>
          <w:shd w:fill="auto" w:val="clear"/>
        </w:rPr>
      </w:r>
      <w:r/>
    </w:p>
    <w:p>
      <w:pPr>
        <w:pStyle w:val="Normal"/>
        <w:spacing w:lineRule="auto" w:line="240"/>
        <w:ind w:left="-284" w:right="0" w:hanging="0"/>
        <w:jc w:val="both"/>
        <w:rPr>
          <w:sz w:val="32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32"/>
          <w:shd w:fill="auto" w:val="clear"/>
        </w:rPr>
      </w:r>
      <w:r/>
    </w:p>
    <w:p>
      <w:pPr>
        <w:pStyle w:val="Normal"/>
        <w:numPr>
          <w:ilvl w:val="0"/>
          <w:numId w:val="5"/>
        </w:numPr>
        <w:spacing w:lineRule="auto" w:line="240"/>
        <w:ind w:left="-284" w:hanging="360"/>
        <w:jc w:val="both"/>
        <w:rPr>
          <w:sz w:val="32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32"/>
          <w:shd w:fill="auto" w:val="clear"/>
        </w:rPr>
        <w:t>La calificación asignada en la exposición constituye el 20% de la calificación final del bimestre.</w:t>
      </w:r>
      <w:r/>
    </w:p>
    <w:p>
      <w:pPr>
        <w:pStyle w:val="Normal"/>
        <w:spacing w:lineRule="auto" w:line="240"/>
        <w:jc w:val="both"/>
        <w:rPr>
          <w:sz w:val="20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both"/>
        <w:rPr>
          <w:sz w:val="20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both"/>
        <w:rPr>
          <w:sz w:val="20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both"/>
        <w:rPr>
          <w:sz w:val="20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both"/>
        <w:rPr>
          <w:sz w:val="20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both"/>
        <w:rPr>
          <w:sz w:val="20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both"/>
        <w:rPr>
          <w:sz w:val="20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20"/>
          <w:shd w:fill="auto" w:val="clear"/>
        </w:rPr>
      </w:r>
      <w:r/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imes New Roman">
    <w:charset w:val="00"/>
    <w:family w:val="auto"/>
    <w:pitch w:val="default"/>
  </w:font>
  <w:font w:name="Century Gothic">
    <w:charset w:val="00"/>
    <w:family w:val="auto"/>
    <w:pitch w:val="default"/>
  </w:font>
  <w:font w:name="Calibri">
    <w:charset w:val="00"/>
    <w:family w:val="auto"/>
    <w:pitch w:val="default"/>
  </w:font>
  <w:font w:name="Symbol"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-284"/>
        </w:tabs>
        <w:ind w:left="-28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-284"/>
        </w:tabs>
        <w:ind w:left="-28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-284"/>
        </w:tabs>
        <w:ind w:left="-28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•"/>
      <w:lvlJc w:val="left"/>
      <w:pPr>
        <w:tabs>
          <w:tab w:val="num" w:pos="-284"/>
        </w:tabs>
        <w:ind w:left="-28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•"/>
      <w:lvlJc w:val="left"/>
      <w:pPr>
        <w:tabs>
          <w:tab w:val="num" w:pos="-284"/>
        </w:tabs>
        <w:ind w:left="-28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 w:val="22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Calibri" w:hAnsi="Calibri" w:eastAsia="Segoe UI" w:cs="Tahoma"/>
      <w:color w:val="000000"/>
      <w:sz w:val="22"/>
      <w:szCs w:val="24"/>
      <w:lang w:val="en-US" w:eastAsia="en-US" w:bidi="en-US"/>
    </w:rPr>
  </w:style>
  <w:style w:type="paragraph" w:styleId="Contenidodelatabla">
    <w:name w:val="Contenido de la tab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387</TotalTime>
  <Application>LibreOffice/4.3.4.1$Windows_x86 LibreOffice_project/bc356b2f991740509f321d70e4512a6a54c5f243</Application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es-MX</dc:language>
  <dcterms:modified xsi:type="dcterms:W3CDTF">2015-03-20T11:14:43Z</dcterms:modified>
  <cp:revision>1</cp:revision>
</cp:coreProperties>
</file>